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Fonts w:ascii="黑体" w:hAnsi="黑体" w:eastAsia="黑体" w:cs="宋体"/>
          <w:b/>
          <w:kern w:val="0"/>
          <w:sz w:val="36"/>
          <w:szCs w:val="36"/>
        </w:rPr>
      </w:pPr>
      <w:r>
        <w:rPr>
          <w:rFonts w:hint="eastAsia" w:ascii="黑体" w:hAnsi="黑体" w:eastAsia="黑体" w:cs="宋体"/>
          <w:b/>
          <w:kern w:val="0"/>
          <w:sz w:val="36"/>
          <w:szCs w:val="36"/>
        </w:rPr>
        <w:t>新疆财政支出绩效自评报告编制要求</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700" w:firstLineChars="200"/>
        <w:rPr>
          <w:rFonts w:hint="eastAsia" w:ascii="仿宋_GB2312" w:hAnsi="仿宋_GB2312" w:eastAsia="仿宋_GB2312" w:cs="仿宋_GB2312"/>
          <w:color w:val="000000"/>
          <w:spacing w:val="15"/>
          <w:kern w:val="0"/>
          <w:sz w:val="32"/>
          <w:szCs w:val="32"/>
          <w:lang w:eastAsia="zh-CN"/>
        </w:rPr>
      </w:pPr>
      <w:r>
        <w:rPr>
          <w:rFonts w:hint="eastAsia" w:ascii="仿宋_GB2312" w:hAnsi="仿宋_GB2312" w:eastAsia="仿宋_GB2312" w:cs="仿宋_GB2312"/>
          <w:color w:val="000000"/>
          <w:spacing w:val="15"/>
          <w:kern w:val="0"/>
          <w:sz w:val="32"/>
          <w:szCs w:val="32"/>
          <w:lang w:eastAsia="zh-CN"/>
        </w:rPr>
        <w:t>英吉沙县</w:t>
      </w:r>
      <w:r>
        <w:rPr>
          <w:rFonts w:hint="eastAsia" w:ascii="仿宋_GB2312" w:hAnsi="仿宋_GB2312" w:eastAsia="仿宋_GB2312" w:cs="仿宋_GB2312"/>
          <w:color w:val="000000"/>
          <w:spacing w:val="15"/>
          <w:kern w:val="0"/>
          <w:sz w:val="32"/>
          <w:szCs w:val="32"/>
        </w:rPr>
        <w:t>民政局内设</w:t>
      </w:r>
      <w:r>
        <w:rPr>
          <w:rFonts w:hint="eastAsia" w:ascii="仿宋_GB2312" w:hAnsi="仿宋_GB2312" w:eastAsia="仿宋_GB2312" w:cs="仿宋_GB2312"/>
          <w:color w:val="000000"/>
          <w:spacing w:val="15"/>
          <w:kern w:val="0"/>
          <w:sz w:val="32"/>
          <w:szCs w:val="32"/>
          <w:lang w:val="en-US" w:eastAsia="zh-CN"/>
        </w:rPr>
        <w:t>6个职能股室</w:t>
      </w:r>
      <w:r>
        <w:rPr>
          <w:rFonts w:hint="eastAsia" w:ascii="仿宋_GB2312" w:hAnsi="仿宋_GB2312" w:eastAsia="仿宋_GB2312" w:cs="仿宋_GB2312"/>
          <w:color w:val="000000"/>
          <w:spacing w:val="15"/>
          <w:kern w:val="0"/>
          <w:sz w:val="32"/>
          <w:szCs w:val="32"/>
        </w:rPr>
        <w:t>，包括：行政办公室、</w:t>
      </w:r>
      <w:r>
        <w:rPr>
          <w:rFonts w:hint="eastAsia" w:ascii="仿宋_GB2312" w:hAnsi="仿宋_GB2312" w:eastAsia="仿宋_GB2312" w:cs="仿宋_GB2312"/>
          <w:color w:val="000000"/>
          <w:spacing w:val="15"/>
          <w:kern w:val="0"/>
          <w:sz w:val="32"/>
          <w:szCs w:val="32"/>
          <w:lang w:eastAsia="zh-CN"/>
        </w:rPr>
        <w:t>社会救助办公室、</w:t>
      </w:r>
      <w:r>
        <w:rPr>
          <w:rFonts w:hint="eastAsia" w:ascii="仿宋_GB2312" w:hAnsi="仿宋_GB2312" w:eastAsia="仿宋_GB2312" w:cs="仿宋_GB2312"/>
          <w:color w:val="000000"/>
          <w:spacing w:val="15"/>
          <w:kern w:val="0"/>
          <w:sz w:val="32"/>
          <w:szCs w:val="32"/>
        </w:rPr>
        <w:t>优抚</w:t>
      </w:r>
      <w:r>
        <w:rPr>
          <w:rFonts w:hint="eastAsia" w:ascii="仿宋_GB2312" w:hAnsi="仿宋_GB2312" w:eastAsia="仿宋_GB2312" w:cs="仿宋_GB2312"/>
          <w:color w:val="000000"/>
          <w:spacing w:val="15"/>
          <w:kern w:val="0"/>
          <w:sz w:val="32"/>
          <w:szCs w:val="32"/>
          <w:lang w:eastAsia="zh-CN"/>
        </w:rPr>
        <w:t>安置办公室</w:t>
      </w:r>
      <w:r>
        <w:rPr>
          <w:rFonts w:hint="eastAsia" w:ascii="仿宋_GB2312" w:hAnsi="仿宋_GB2312" w:eastAsia="仿宋_GB2312" w:cs="仿宋_GB2312"/>
          <w:color w:val="000000"/>
          <w:spacing w:val="15"/>
          <w:kern w:val="0"/>
          <w:sz w:val="32"/>
          <w:szCs w:val="32"/>
        </w:rPr>
        <w:t>、救灾</w:t>
      </w:r>
      <w:r>
        <w:rPr>
          <w:rFonts w:hint="eastAsia" w:ascii="仿宋_GB2312" w:hAnsi="仿宋_GB2312" w:eastAsia="仿宋_GB2312" w:cs="仿宋_GB2312"/>
          <w:color w:val="000000"/>
          <w:spacing w:val="15"/>
          <w:kern w:val="0"/>
          <w:sz w:val="32"/>
          <w:szCs w:val="32"/>
          <w:lang w:eastAsia="zh-CN"/>
        </w:rPr>
        <w:t>办公室</w:t>
      </w:r>
      <w:r>
        <w:rPr>
          <w:rFonts w:hint="eastAsia" w:ascii="仿宋_GB2312" w:hAnsi="仿宋_GB2312" w:eastAsia="仿宋_GB2312" w:cs="仿宋_GB2312"/>
          <w:color w:val="000000"/>
          <w:spacing w:val="15"/>
          <w:kern w:val="0"/>
          <w:sz w:val="32"/>
          <w:szCs w:val="32"/>
        </w:rPr>
        <w:t>、</w:t>
      </w:r>
      <w:r>
        <w:rPr>
          <w:rFonts w:hint="eastAsia" w:ascii="仿宋_GB2312" w:hAnsi="仿宋_GB2312" w:eastAsia="仿宋_GB2312" w:cs="仿宋_GB2312"/>
          <w:color w:val="000000"/>
          <w:spacing w:val="15"/>
          <w:kern w:val="0"/>
          <w:sz w:val="32"/>
          <w:szCs w:val="32"/>
          <w:lang w:eastAsia="zh-CN"/>
        </w:rPr>
        <w:t>社会事务办公室、地名</w:t>
      </w:r>
      <w:r>
        <w:rPr>
          <w:rFonts w:hint="eastAsia" w:ascii="仿宋_GB2312" w:hAnsi="仿宋_GB2312" w:eastAsia="仿宋_GB2312" w:cs="仿宋_GB2312"/>
          <w:color w:val="000000"/>
          <w:spacing w:val="15"/>
          <w:kern w:val="0"/>
          <w:sz w:val="32"/>
          <w:szCs w:val="32"/>
        </w:rPr>
        <w:t>区划</w:t>
      </w:r>
      <w:r>
        <w:rPr>
          <w:rFonts w:hint="eastAsia" w:ascii="仿宋_GB2312" w:hAnsi="仿宋_GB2312" w:eastAsia="仿宋_GB2312" w:cs="仿宋_GB2312"/>
          <w:color w:val="000000"/>
          <w:spacing w:val="15"/>
          <w:kern w:val="0"/>
          <w:sz w:val="32"/>
          <w:szCs w:val="32"/>
          <w:lang w:eastAsia="zh-CN"/>
        </w:rPr>
        <w:t>办公室。</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700" w:firstLineChars="200"/>
        <w:rPr>
          <w:rFonts w:hint="eastAsia" w:ascii="仿宋_GB2312" w:hAnsi="仿宋_GB2312" w:eastAsia="仿宋_GB2312" w:cs="仿宋_GB2312"/>
          <w:color w:val="000000"/>
          <w:spacing w:val="15"/>
          <w:kern w:val="0"/>
          <w:sz w:val="32"/>
          <w:szCs w:val="32"/>
          <w:lang w:val="en-US" w:eastAsia="zh-CN"/>
        </w:rPr>
      </w:pPr>
      <w:r>
        <w:rPr>
          <w:rFonts w:hint="eastAsia" w:ascii="仿宋_GB2312" w:hAnsi="仿宋_GB2312" w:eastAsia="仿宋_GB2312" w:cs="仿宋_GB2312"/>
          <w:color w:val="000000"/>
          <w:spacing w:val="15"/>
          <w:kern w:val="0"/>
          <w:sz w:val="32"/>
          <w:szCs w:val="32"/>
          <w:lang w:val="en-US" w:eastAsia="zh-CN"/>
        </w:rPr>
        <w:t>一是保障：社会救助对象认定精准，做到应保尽保；</w:t>
      </w:r>
    </w:p>
    <w:p>
      <w:pPr>
        <w:adjustRightInd w:val="0"/>
        <w:snapToGrid w:val="0"/>
        <w:spacing w:line="560" w:lineRule="exact"/>
        <w:ind w:firstLine="700" w:firstLineChars="200"/>
        <w:rPr>
          <w:rFonts w:hint="eastAsia" w:ascii="仿宋_GB2312" w:hAnsi="仿宋_GB2312" w:eastAsia="仿宋_GB2312" w:cs="仿宋_GB2312"/>
          <w:color w:val="000000"/>
          <w:spacing w:val="15"/>
          <w:kern w:val="0"/>
          <w:sz w:val="32"/>
          <w:szCs w:val="32"/>
          <w:lang w:val="en-US" w:eastAsia="zh-CN"/>
        </w:rPr>
      </w:pPr>
      <w:r>
        <w:rPr>
          <w:rFonts w:hint="eastAsia" w:ascii="仿宋_GB2312" w:hAnsi="仿宋_GB2312" w:eastAsia="仿宋_GB2312" w:cs="仿宋_GB2312"/>
          <w:color w:val="000000"/>
          <w:spacing w:val="15"/>
          <w:kern w:val="0"/>
          <w:sz w:val="32"/>
          <w:szCs w:val="32"/>
          <w:lang w:val="en-US" w:eastAsia="zh-CN"/>
        </w:rPr>
        <w:t>二是保障：社会救助资金按照标准及时发放，发挥资金效益，群众困雄得到有效解决；</w:t>
      </w:r>
    </w:p>
    <w:p>
      <w:pPr>
        <w:adjustRightInd w:val="0"/>
        <w:snapToGrid w:val="0"/>
        <w:spacing w:line="560" w:lineRule="exact"/>
        <w:ind w:firstLine="700" w:firstLineChars="200"/>
        <w:rPr>
          <w:rFonts w:hint="eastAsia" w:ascii="仿宋_GB2312" w:hAnsi="仿宋_GB2312" w:eastAsia="仿宋_GB2312" w:cs="仿宋_GB2312"/>
          <w:color w:val="000000"/>
          <w:spacing w:val="15"/>
          <w:kern w:val="0"/>
          <w:sz w:val="32"/>
          <w:szCs w:val="32"/>
          <w:lang w:val="en-US" w:eastAsia="zh-CN"/>
        </w:rPr>
      </w:pPr>
      <w:r>
        <w:rPr>
          <w:rFonts w:hint="eastAsia" w:ascii="仿宋_GB2312" w:hAnsi="仿宋_GB2312" w:eastAsia="仿宋_GB2312" w:cs="仿宋_GB2312"/>
          <w:color w:val="000000"/>
          <w:spacing w:val="15"/>
          <w:kern w:val="0"/>
          <w:sz w:val="32"/>
          <w:szCs w:val="32"/>
          <w:lang w:val="en-US" w:eastAsia="zh-CN"/>
        </w:rPr>
        <w:t>三是保障：社会救助政策得到公平、公正落实，困难群众切实得实惠；</w:t>
      </w:r>
    </w:p>
    <w:p>
      <w:pPr>
        <w:adjustRightInd w:val="0"/>
        <w:snapToGrid w:val="0"/>
        <w:spacing w:line="560" w:lineRule="exact"/>
        <w:ind w:firstLine="700" w:firstLineChars="200"/>
        <w:rPr>
          <w:rFonts w:hint="eastAsia" w:ascii="仿宋_GB2312" w:hAnsi="仿宋_GB2312" w:eastAsia="仿宋_GB2312" w:cs="仿宋_GB2312"/>
          <w:color w:val="000000"/>
          <w:spacing w:val="15"/>
          <w:kern w:val="0"/>
          <w:sz w:val="32"/>
          <w:szCs w:val="32"/>
          <w:lang w:val="en-US" w:eastAsia="zh-CN"/>
        </w:rPr>
      </w:pPr>
      <w:r>
        <w:rPr>
          <w:rFonts w:hint="eastAsia" w:ascii="仿宋_GB2312" w:hAnsi="仿宋_GB2312" w:eastAsia="仿宋_GB2312" w:cs="仿宋_GB2312"/>
          <w:color w:val="000000"/>
          <w:spacing w:val="15"/>
          <w:kern w:val="0"/>
          <w:sz w:val="32"/>
          <w:szCs w:val="32"/>
          <w:lang w:val="en-US" w:eastAsia="zh-CN"/>
        </w:rPr>
        <w:t>四是保障：为生活无着流动人员、流浪未成年人提供临时救助、临时监护责任，帮助他们顺利返回家庭，并做好源头预防工作。</w:t>
      </w:r>
    </w:p>
    <w:p>
      <w:pPr>
        <w:adjustRightInd w:val="0"/>
        <w:snapToGrid w:val="0"/>
        <w:spacing w:line="560" w:lineRule="exact"/>
        <w:ind w:firstLine="700" w:firstLineChars="200"/>
        <w:rPr>
          <w:rFonts w:hint="eastAsia" w:ascii="仿宋_GB2312" w:hAnsi="仿宋_GB2312" w:eastAsia="仿宋_GB2312" w:cs="仿宋_GB2312"/>
          <w:color w:val="000000"/>
          <w:spacing w:val="15"/>
          <w:kern w:val="0"/>
          <w:sz w:val="32"/>
          <w:szCs w:val="32"/>
          <w:lang w:val="en-US" w:eastAsia="zh-CN"/>
        </w:rPr>
      </w:pPr>
      <w:r>
        <w:rPr>
          <w:rFonts w:hint="eastAsia" w:ascii="仿宋_GB2312" w:hAnsi="仿宋_GB2312" w:eastAsia="仿宋_GB2312" w:cs="仿宋_GB2312"/>
          <w:color w:val="000000"/>
          <w:spacing w:val="15"/>
          <w:kern w:val="0"/>
          <w:sz w:val="32"/>
          <w:szCs w:val="32"/>
          <w:lang w:val="en-US" w:eastAsia="zh-CN"/>
        </w:rPr>
        <w:t>五是保障：保障孤儿和艾滋病感染儿童生存，促进其成长，更好的融入社会。</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本项目性质为延续项目。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40" w:firstLineChars="200"/>
        <w:outlineLvl w:val="0"/>
        <w:rPr>
          <w:rFonts w:hint="eastAsia"/>
          <w:sz w:val="32"/>
          <w:szCs w:val="32"/>
          <w:lang w:val="en-US" w:eastAsia="zh-CN"/>
        </w:rPr>
      </w:pPr>
      <w:r>
        <w:rPr>
          <w:rFonts w:hint="eastAsia"/>
          <w:sz w:val="32"/>
          <w:szCs w:val="32"/>
          <w:lang w:val="en-US" w:eastAsia="zh-CN"/>
        </w:rPr>
        <w:t>补助资金要专款专用，用于为低保对象发放低保金，为特困人员提供基本生活条件、对生活不能自理的给予照料、提供疾病治疗、办理丧葬事宜，向启动价格补贴联动机制后的困难群众发放生活补助，为临时救助对象发放临时救助金或实物，为孤儿和艾滋病病毒感染儿童发放基本生活费，为生活无着的流浪乞讨人员实施主动救助、生活救助、医疗救治、教育矫治、返乡救助、临时安置并实施未成年人社会保护，以及用于政府购买社会救助服务工作和推行民政村级协理员提供经费保障</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widowControl/>
        <w:adjustRightInd w:val="0"/>
        <w:snapToGrid w:val="0"/>
        <w:spacing w:line="60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困难救助补助资金项目预算安排总额为0万元，其中财政资金0万元，自筹资金0万元，2018年实际收到预算资金28964.55万元。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rPr>
        <w:t>本项目实际支付资金</w:t>
      </w:r>
      <w:r>
        <w:rPr>
          <w:rFonts w:hint="eastAsia" w:ascii="仿宋" w:hAnsi="仿宋" w:eastAsia="仿宋"/>
          <w:bCs/>
          <w:color w:val="auto"/>
          <w:spacing w:val="-4"/>
          <w:sz w:val="32"/>
          <w:szCs w:val="32"/>
          <w:lang w:val="en-US" w:eastAsia="zh-CN"/>
        </w:rPr>
        <w:t>28964.55</w:t>
      </w:r>
      <w:r>
        <w:rPr>
          <w:rFonts w:hint="eastAsia" w:ascii="仿宋" w:hAnsi="仿宋" w:eastAsia="仿宋"/>
          <w:bCs/>
          <w:color w:val="auto"/>
          <w:spacing w:val="-4"/>
          <w:sz w:val="32"/>
          <w:szCs w:val="32"/>
        </w:rPr>
        <w:t>万元，预算执行率</w:t>
      </w:r>
      <w:r>
        <w:rPr>
          <w:rFonts w:hint="eastAsia" w:ascii="仿宋" w:hAnsi="仿宋" w:eastAsia="仿宋"/>
          <w:bCs/>
          <w:color w:val="auto"/>
          <w:spacing w:val="-4"/>
          <w:sz w:val="32"/>
          <w:szCs w:val="32"/>
          <w:lang w:val="en-US" w:eastAsia="zh-CN"/>
        </w:rPr>
        <w:t>100</w:t>
      </w:r>
      <w:r>
        <w:rPr>
          <w:rFonts w:ascii="仿宋" w:hAnsi="仿宋" w:eastAsia="仿宋"/>
          <w:bCs/>
          <w:color w:val="auto"/>
          <w:spacing w:val="-4"/>
          <w:sz w:val="32"/>
          <w:szCs w:val="32"/>
        </w:rPr>
        <w:t>%</w:t>
      </w:r>
      <w:r>
        <w:rPr>
          <w:rFonts w:hint="eastAsia" w:ascii="仿宋" w:hAnsi="仿宋" w:eastAsia="仿宋"/>
          <w:bCs/>
          <w:color w:val="auto"/>
          <w:spacing w:val="-4"/>
          <w:sz w:val="32"/>
          <w:szCs w:val="32"/>
          <w:lang w:eastAsia="zh-CN"/>
        </w:rPr>
        <w:t>。</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color w:val="auto"/>
          <w:spacing w:val="-4"/>
          <w:sz w:val="32"/>
          <w:szCs w:val="32"/>
        </w:rPr>
      </w:pPr>
      <w:r>
        <w:rPr>
          <w:rFonts w:hint="eastAsia" w:ascii="仿宋" w:hAnsi="仿宋" w:eastAsia="仿宋"/>
          <w:bCs/>
          <w:color w:val="auto"/>
          <w:spacing w:val="-4"/>
          <w:sz w:val="32"/>
          <w:szCs w:val="32"/>
        </w:rPr>
        <w:t>本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该项目属于</w:t>
      </w:r>
      <w:r>
        <w:rPr>
          <w:rStyle w:val="18"/>
          <w:rFonts w:hint="eastAsia" w:ascii="仿宋" w:hAnsi="仿宋" w:eastAsia="仿宋"/>
          <w:b w:val="0"/>
          <w:color w:val="auto"/>
          <w:spacing w:val="-4"/>
          <w:sz w:val="32"/>
          <w:szCs w:val="32"/>
          <w:lang w:eastAsia="zh-CN"/>
        </w:rPr>
        <w:t>民生项目按规定核算发放对个人和家庭的补助资金项目</w:t>
      </w:r>
      <w:r>
        <w:rPr>
          <w:rStyle w:val="18"/>
          <w:rFonts w:hint="eastAsia" w:ascii="仿宋" w:hAnsi="仿宋" w:eastAsia="仿宋"/>
          <w:b w:val="0"/>
          <w:color w:val="auto"/>
          <w:spacing w:val="-4"/>
          <w:sz w:val="32"/>
          <w:szCs w:val="32"/>
        </w:rPr>
        <w:t>,不存在调整情况。不存在检查验收程序。</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Fonts w:hint="eastAsia" w:ascii="仿宋" w:hAnsi="仿宋" w:eastAsia="仿宋"/>
          <w:bCs/>
          <w:color w:val="auto"/>
          <w:spacing w:val="-4"/>
          <w:sz w:val="32"/>
          <w:szCs w:val="32"/>
        </w:rPr>
        <w:t>项目实施过程中，</w:t>
      </w:r>
      <w:r>
        <w:rPr>
          <w:rFonts w:hint="eastAsia" w:ascii="仿宋" w:hAnsi="仿宋" w:eastAsia="仿宋"/>
          <w:bCs/>
          <w:color w:val="auto"/>
          <w:spacing w:val="-4"/>
          <w:sz w:val="32"/>
          <w:szCs w:val="32"/>
          <w:lang w:eastAsia="zh-CN"/>
        </w:rPr>
        <w:t>英吉沙县民政局依据政策规定</w:t>
      </w:r>
      <w:r>
        <w:rPr>
          <w:rFonts w:hint="eastAsia" w:ascii="仿宋" w:hAnsi="仿宋" w:eastAsia="仿宋"/>
          <w:bCs/>
          <w:color w:val="auto"/>
          <w:spacing w:val="-4"/>
          <w:sz w:val="32"/>
          <w:szCs w:val="32"/>
        </w:rPr>
        <w:t>保障项目的顺利实施。项目的实施遵守相关法律法规和业务管理规定，项目资料齐全并及时归档。不定期对项目进度情况进行督导检查，对检查过程中发现的问题及时督促整改，确保了项目按时保质完成。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ascii="仿宋" w:hAnsi="仿宋" w:eastAsia="仿宋"/>
          <w:bCs/>
          <w:color w:val="auto"/>
          <w:spacing w:val="-4"/>
          <w:sz w:val="32"/>
          <w:szCs w:val="32"/>
        </w:rPr>
        <w:t>本项目共设置一级指标</w:t>
      </w:r>
      <w:r>
        <w:rPr>
          <w:rFonts w:hint="eastAsia" w:ascii="仿宋" w:hAnsi="仿宋" w:eastAsia="仿宋"/>
          <w:bCs/>
          <w:color w:val="auto"/>
          <w:spacing w:val="-4"/>
          <w:sz w:val="32"/>
          <w:szCs w:val="32"/>
          <w:lang w:val="en-US" w:eastAsia="zh-CN"/>
        </w:rPr>
        <w:t>3</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二级指标</w:t>
      </w:r>
      <w:r>
        <w:rPr>
          <w:rFonts w:hint="eastAsia" w:ascii="仿宋" w:hAnsi="仿宋" w:eastAsia="仿宋"/>
          <w:bCs/>
          <w:color w:val="auto"/>
          <w:spacing w:val="-4"/>
          <w:sz w:val="32"/>
          <w:szCs w:val="32"/>
          <w:lang w:val="en-US" w:eastAsia="zh-CN"/>
        </w:rPr>
        <w:t>9</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三级指标</w:t>
      </w:r>
      <w:r>
        <w:rPr>
          <w:rFonts w:hint="eastAsia" w:ascii="仿宋" w:hAnsi="仿宋" w:eastAsia="仿宋"/>
          <w:bCs/>
          <w:color w:val="auto"/>
          <w:spacing w:val="-4"/>
          <w:sz w:val="32"/>
          <w:szCs w:val="32"/>
          <w:lang w:val="en-US" w:eastAsia="zh-CN"/>
        </w:rPr>
        <w:t>17</w:t>
      </w:r>
      <w:r>
        <w:rPr>
          <w:rFonts w:ascii="仿宋" w:hAnsi="仿宋" w:eastAsia="仿宋"/>
          <w:bCs/>
          <w:color w:val="auto"/>
          <w:spacing w:val="-4"/>
          <w:sz w:val="32"/>
          <w:szCs w:val="32"/>
        </w:rPr>
        <w:t>个</w:t>
      </w:r>
      <w:r>
        <w:rPr>
          <w:rFonts w:hint="eastAsia" w:ascii="仿宋" w:hAnsi="仿宋" w:eastAsia="仿宋"/>
          <w:bCs/>
          <w:color w:val="auto"/>
          <w:spacing w:val="-4"/>
          <w:sz w:val="32"/>
          <w:szCs w:val="32"/>
        </w:rPr>
        <w:t>，其中</w:t>
      </w:r>
      <w:r>
        <w:rPr>
          <w:rFonts w:ascii="仿宋" w:hAnsi="仿宋" w:eastAsia="仿宋"/>
          <w:bCs/>
          <w:color w:val="auto"/>
          <w:spacing w:val="-4"/>
          <w:sz w:val="32"/>
          <w:szCs w:val="32"/>
        </w:rPr>
        <w:t>已完成三级指标</w:t>
      </w:r>
      <w:r>
        <w:rPr>
          <w:rFonts w:hint="eastAsia" w:ascii="仿宋" w:hAnsi="仿宋" w:eastAsia="仿宋"/>
          <w:bCs/>
          <w:color w:val="auto"/>
          <w:spacing w:val="-4"/>
          <w:sz w:val="32"/>
          <w:szCs w:val="32"/>
          <w:lang w:val="en-US" w:eastAsia="zh-CN"/>
        </w:rPr>
        <w:t>17</w:t>
      </w:r>
      <w:r>
        <w:rPr>
          <w:rFonts w:ascii="仿宋" w:hAnsi="仿宋" w:eastAsia="仿宋"/>
          <w:bCs/>
          <w:color w:val="auto"/>
          <w:spacing w:val="-4"/>
          <w:sz w:val="32"/>
          <w:szCs w:val="32"/>
        </w:rPr>
        <w:t>个</w:t>
      </w:r>
      <w:r>
        <w:rPr>
          <w:rFonts w:hint="eastAsia" w:ascii="仿宋" w:hAnsi="仿宋" w:eastAsia="仿宋"/>
          <w:bCs/>
          <w:color w:val="auto"/>
          <w:spacing w:val="-4"/>
          <w:sz w:val="32"/>
          <w:szCs w:val="32"/>
        </w:rPr>
        <w:t>，指标完成率为</w:t>
      </w:r>
      <w:r>
        <w:rPr>
          <w:rFonts w:hint="eastAsia" w:ascii="仿宋" w:hAnsi="仿宋" w:eastAsia="仿宋"/>
          <w:bCs/>
          <w:color w:val="auto"/>
          <w:spacing w:val="-4"/>
          <w:sz w:val="32"/>
          <w:szCs w:val="32"/>
          <w:lang w:val="en-US" w:eastAsia="zh-CN"/>
        </w:rPr>
        <w:t>100</w:t>
      </w:r>
      <w:r>
        <w:rPr>
          <w:rFonts w:hint="eastAsia" w:ascii="仿宋" w:hAnsi="仿宋" w:eastAsia="仿宋"/>
          <w:bCs/>
          <w:color w:val="auto"/>
          <w:spacing w:val="-4"/>
          <w:sz w:val="32"/>
          <w:szCs w:val="32"/>
        </w:rPr>
        <w:t>%。</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eastAsia="zh-CN"/>
        </w:rPr>
      </w:pPr>
      <w:r>
        <w:rPr>
          <w:rStyle w:val="18"/>
          <w:rFonts w:hint="eastAsia" w:ascii="仿宋" w:hAnsi="仿宋" w:eastAsia="仿宋"/>
          <w:b w:val="0"/>
          <w:color w:val="auto"/>
          <w:spacing w:val="-4"/>
          <w:sz w:val="32"/>
          <w:szCs w:val="32"/>
        </w:rPr>
        <w:t>经济性：</w:t>
      </w:r>
      <w:r>
        <w:rPr>
          <w:rStyle w:val="18"/>
          <w:rFonts w:hint="eastAsia" w:ascii="仿宋" w:hAnsi="仿宋" w:eastAsia="仿宋"/>
          <w:b w:val="0"/>
          <w:color w:val="auto"/>
          <w:spacing w:val="-4"/>
          <w:sz w:val="32"/>
          <w:szCs w:val="32"/>
          <w:lang w:eastAsia="zh-CN"/>
        </w:rPr>
        <w:t>该项目</w:t>
      </w:r>
      <w:r>
        <w:rPr>
          <w:rStyle w:val="18"/>
          <w:rFonts w:hint="eastAsia" w:ascii="仿宋" w:hAnsi="仿宋" w:eastAsia="仿宋"/>
          <w:b w:val="0"/>
          <w:color w:val="auto"/>
          <w:spacing w:val="-4"/>
          <w:sz w:val="32"/>
          <w:szCs w:val="32"/>
        </w:rPr>
        <w:t>属于</w:t>
      </w:r>
      <w:r>
        <w:rPr>
          <w:rStyle w:val="18"/>
          <w:rFonts w:hint="eastAsia" w:ascii="仿宋" w:hAnsi="仿宋" w:eastAsia="仿宋"/>
          <w:b w:val="0"/>
          <w:color w:val="auto"/>
          <w:spacing w:val="-4"/>
          <w:sz w:val="32"/>
          <w:szCs w:val="32"/>
          <w:lang w:eastAsia="zh-CN"/>
        </w:rPr>
        <w:t>民生项目按规定核算发放对个人和家庭的补助资金项目不存在经济效益。</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效率性：主要通过对比分析项目的实施进度和完成质量。</w:t>
      </w:r>
    </w:p>
    <w:p>
      <w:pPr>
        <w:adjustRightInd w:val="0"/>
        <w:snapToGrid w:val="0"/>
        <w:spacing w:line="560" w:lineRule="exact"/>
        <w:ind w:firstLine="624" w:firstLineChars="200"/>
        <w:rPr>
          <w:rFonts w:ascii="仿宋" w:hAnsi="仿宋" w:eastAsia="仿宋"/>
          <w:bCs/>
          <w:color w:val="FF0000"/>
          <w:spacing w:val="-4"/>
          <w:sz w:val="32"/>
          <w:szCs w:val="32"/>
        </w:rPr>
      </w:pPr>
      <w:r>
        <w:rPr>
          <w:rStyle w:val="18"/>
          <w:rFonts w:hint="eastAsia" w:ascii="仿宋" w:hAnsi="仿宋" w:eastAsia="仿宋"/>
          <w:b w:val="0"/>
          <w:color w:val="auto"/>
          <w:spacing w:val="-4"/>
          <w:sz w:val="32"/>
          <w:szCs w:val="32"/>
        </w:rPr>
        <w:t>效益性：主要分析项目实施后对于经济和社会的影响。</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不存在未完成情况</w:t>
      </w:r>
      <w:r>
        <w:rPr>
          <w:rFonts w:ascii="仿宋" w:hAnsi="仿宋" w:eastAsia="仿宋"/>
          <w:color w:val="auto"/>
          <w:spacing w:val="-4"/>
          <w:sz w:val="32"/>
          <w:szCs w:val="32"/>
        </w:rPr>
        <w:t>:</w:t>
      </w:r>
      <w:r>
        <w:rPr>
          <w:rFonts w:hint="eastAsia" w:ascii="仿宋" w:hAnsi="仿宋" w:eastAsia="仿宋"/>
          <w:color w:val="auto"/>
          <w:spacing w:val="-4"/>
          <w:sz w:val="32"/>
          <w:szCs w:val="32"/>
        </w:rPr>
        <w:t>201</w:t>
      </w:r>
      <w:r>
        <w:rPr>
          <w:rFonts w:hint="eastAsia" w:ascii="仿宋" w:hAnsi="仿宋" w:eastAsia="仿宋"/>
          <w:color w:val="auto"/>
          <w:spacing w:val="-4"/>
          <w:sz w:val="32"/>
          <w:szCs w:val="32"/>
          <w:lang w:val="en-US" w:eastAsia="zh-CN"/>
        </w:rPr>
        <w:t>8</w:t>
      </w:r>
      <w:r>
        <w:rPr>
          <w:rFonts w:hint="eastAsia" w:ascii="仿宋" w:hAnsi="仿宋" w:eastAsia="仿宋"/>
          <w:color w:val="auto"/>
          <w:spacing w:val="-4"/>
          <w:sz w:val="32"/>
          <w:szCs w:val="32"/>
        </w:rPr>
        <w:t>年本项目绩效目标全部达成，不存在未完成原因分析。</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rPr>
          <w:rFonts w:hint="eastAsia" w:ascii="仿宋" w:hAnsi="仿宋" w:eastAsia="仿宋"/>
          <w:bCs/>
          <w:color w:val="FF0000"/>
          <w:spacing w:val="-4"/>
          <w:sz w:val="32"/>
          <w:szCs w:val="32"/>
          <w:lang w:eastAsia="zh-CN"/>
        </w:rPr>
      </w:pPr>
      <w:r>
        <w:rPr>
          <w:rFonts w:ascii="仿宋" w:hAnsi="仿宋" w:eastAsia="仿宋"/>
          <w:bCs/>
          <w:color w:val="auto"/>
          <w:spacing w:val="-4"/>
          <w:sz w:val="32"/>
          <w:szCs w:val="32"/>
        </w:rPr>
        <w:t>长期性项目主要分析下一年度</w:t>
      </w:r>
      <w:r>
        <w:rPr>
          <w:rFonts w:hint="eastAsia" w:ascii="仿宋" w:hAnsi="仿宋" w:eastAsia="仿宋"/>
          <w:bCs/>
          <w:color w:val="auto"/>
          <w:spacing w:val="-4"/>
          <w:sz w:val="32"/>
          <w:szCs w:val="32"/>
          <w:lang w:eastAsia="zh-CN"/>
        </w:rPr>
        <w:t>：县民政局按规定建立</w:t>
      </w:r>
      <w:r>
        <w:rPr>
          <w:rFonts w:hint="eastAsia" w:ascii="仿宋" w:hAnsi="仿宋" w:eastAsia="仿宋"/>
          <w:bCs/>
          <w:color w:val="auto"/>
          <w:spacing w:val="-4"/>
          <w:sz w:val="32"/>
          <w:szCs w:val="32"/>
          <w:lang w:val="en-US" w:eastAsia="zh-CN"/>
        </w:rPr>
        <w:t>困难群众救助补助</w:t>
      </w:r>
      <w:r>
        <w:rPr>
          <w:rFonts w:hint="eastAsia" w:ascii="仿宋" w:hAnsi="仿宋" w:eastAsia="仿宋"/>
          <w:bCs/>
          <w:color w:val="auto"/>
          <w:spacing w:val="-4"/>
          <w:sz w:val="32"/>
          <w:szCs w:val="32"/>
          <w:lang w:eastAsia="zh-CN"/>
        </w:rPr>
        <w:t>资金管理台账及时完成201</w:t>
      </w:r>
      <w:r>
        <w:rPr>
          <w:rFonts w:hint="eastAsia" w:ascii="仿宋" w:hAnsi="仿宋" w:eastAsia="仿宋"/>
          <w:bCs/>
          <w:color w:val="auto"/>
          <w:spacing w:val="-4"/>
          <w:sz w:val="32"/>
          <w:szCs w:val="32"/>
          <w:lang w:val="en-US" w:eastAsia="zh-CN"/>
        </w:rPr>
        <w:t>8</w:t>
      </w:r>
      <w:r>
        <w:rPr>
          <w:rFonts w:hint="eastAsia" w:ascii="仿宋" w:hAnsi="仿宋" w:eastAsia="仿宋"/>
          <w:bCs/>
          <w:color w:val="auto"/>
          <w:spacing w:val="-4"/>
          <w:sz w:val="32"/>
          <w:szCs w:val="32"/>
          <w:lang w:eastAsia="zh-CN"/>
        </w:rPr>
        <w:t>年1-12月份在</w:t>
      </w:r>
      <w:r>
        <w:rPr>
          <w:rFonts w:hint="eastAsia" w:ascii="仿宋" w:hAnsi="仿宋" w:eastAsia="仿宋"/>
          <w:bCs/>
          <w:color w:val="auto"/>
          <w:spacing w:val="-4"/>
          <w:sz w:val="32"/>
          <w:szCs w:val="32"/>
          <w:lang w:val="en-US" w:eastAsia="zh-CN"/>
        </w:rPr>
        <w:t>城乡低保、临时救助、特困人员、孤残儿童、流浪乞讨等资金</w:t>
      </w:r>
      <w:bookmarkStart w:id="0" w:name="_GoBack"/>
      <w:bookmarkEnd w:id="0"/>
      <w:r>
        <w:rPr>
          <w:rFonts w:hint="eastAsia" w:ascii="仿宋" w:hAnsi="仿宋" w:eastAsia="仿宋"/>
          <w:bCs/>
          <w:color w:val="auto"/>
          <w:spacing w:val="-4"/>
          <w:sz w:val="32"/>
          <w:szCs w:val="32"/>
          <w:lang w:eastAsia="zh-CN"/>
        </w:rPr>
        <w:t>及时足额地发放到位。</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lang w:eastAsia="zh-CN"/>
        </w:rPr>
        <w:t>无</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2、存在的问题</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3、建议</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本次评价通过文件研读、实地调研、数据分析等方式，全面了解</w:t>
      </w:r>
      <w:r>
        <w:rPr>
          <w:rFonts w:hint="eastAsia" w:ascii="仿宋" w:hAnsi="仿宋" w:eastAsia="仿宋"/>
          <w:color w:val="auto"/>
          <w:spacing w:val="-4"/>
          <w:sz w:val="32"/>
          <w:szCs w:val="32"/>
          <w:lang w:eastAsia="zh-CN"/>
        </w:rPr>
        <w:t>优抚安置</w:t>
      </w:r>
      <w:r>
        <w:rPr>
          <w:rFonts w:hint="eastAsia" w:ascii="仿宋" w:hAnsi="仿宋" w:eastAsia="仿宋"/>
          <w:color w:val="auto"/>
          <w:spacing w:val="-4"/>
          <w:sz w:val="32"/>
          <w:szCs w:val="32"/>
        </w:rPr>
        <w:t>项目资金的使用效率和效果，项目管理过程是否规范，是否完成了预期绩效目标等。同时，通过开展自我评价来总结经验和教训，为</w:t>
      </w:r>
      <w:r>
        <w:rPr>
          <w:rFonts w:hint="eastAsia" w:ascii="仿宋" w:hAnsi="仿宋" w:eastAsia="仿宋"/>
          <w:color w:val="auto"/>
          <w:spacing w:val="-4"/>
          <w:sz w:val="32"/>
          <w:szCs w:val="32"/>
          <w:lang w:eastAsia="zh-CN"/>
        </w:rPr>
        <w:t>优抚安置</w:t>
      </w:r>
      <w:r>
        <w:rPr>
          <w:rFonts w:hint="eastAsia" w:ascii="仿宋" w:hAnsi="仿宋" w:eastAsia="仿宋"/>
          <w:color w:val="auto"/>
          <w:spacing w:val="-4"/>
          <w:sz w:val="32"/>
          <w:szCs w:val="32"/>
        </w:rPr>
        <w:t>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213B1BA9"/>
    <w:rsid w:val="33C976D8"/>
    <w:rsid w:val="36C06B7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19</TotalTime>
  <ScaleCrop>false</ScaleCrop>
  <LinksUpToDate>false</LinksUpToDate>
  <CharactersWithSpaces>2449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无聊人在刷牙</cp:lastModifiedBy>
  <cp:lastPrinted>2018-12-17T10:15:00Z</cp:lastPrinted>
  <dcterms:modified xsi:type="dcterms:W3CDTF">2019-09-05T04:26:19Z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